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tabs>
          <w:tab w:val="left" w:pos="0"/>
        </w:tabs>
        <w:jc w:val="both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附件1              南通大学文学院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 xml:space="preserve">学术学位硕士生导师年度招生资格审核基本要求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一、近三年，以第一作者发表与本专业相关的高水平论文：一级 B 类以上研究论文不少于1篇或二级以上研究论文不少于2篇。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二、正在主持市厅级以上科研项目；或近两年内主持完成市厅级以上科研项目，且近三年内以第一作者发表一级B类研究论文不少于 2 篇；或正在主持横向科研项目（单项到账经费不少于 6 万元。自经费到账之日起两年内有效）。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三、可独立支配的科研经费：不少于2万元。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  <w:t>南通大学文学院</w:t>
      </w:r>
    </w:p>
    <w:p>
      <w:pPr>
        <w:keepNext w:val="0"/>
        <w:keepLines w:val="0"/>
        <w:widowControl/>
        <w:suppressLineNumbers w:val="0"/>
        <w:ind w:firstLine="320" w:firstLineChars="100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  <w:t>专业学位硕士生导师年度招生资格审核基本要求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一、近三年，发表与本专业相关的高水平论文、著作、获奖、决策咨询报告、专利等科研成果，须满足下列要求中的任意 1 点：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1.以第一作者发表与本专业相关的论文。二级以上研究论文不少于 1 篇。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2.撰写出版本专业学术著作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或教材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不少于 8 万字。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3.主持编写的教学案例被评为专业学位教指委优秀案例，或入选“中国专业学位教学案例中心案例库”。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4.获国家级教学、科研成果奖励（有证书）；或省（部）级教学、科研成果一等奖（前七名）或二等奖（前五名）或三等奖（前三名）；或市（厅）级科研成果一等奖（前三名）或二等奖（第一名）。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二、正在主持市厅级以上科研项目；或正在承担省（部）级以上科研项目（前三名）；或正在主持横向科研项目（单项到账经费不少于 6 万元。自经费到账之日起两年内有效）。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三、可独立支配的科研经费：不少于 1 万元。 </w:t>
      </w:r>
    </w:p>
    <w:p/>
    <w:sectPr>
      <w:pgSz w:w="11906" w:h="16838"/>
      <w:pgMar w:top="1240" w:right="1627" w:bottom="1098" w:left="15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71B0F"/>
    <w:rsid w:val="15613E30"/>
    <w:rsid w:val="32C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2021-03-17T01:14:00Z</dcterms:created>
  <dc:creator>zhm</dc:creator>
  <cp:lastModifiedBy>zhm</cp:lastModifiedBy>
  <dcterms:modified xsi:type="dcterms:W3CDTF">2021-03-19T08:25:15Z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